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4D70" w14:textId="7D949761" w:rsidR="00623E61" w:rsidRDefault="00E14E1A" w:rsidP="00E14E1A">
      <w:pPr>
        <w:jc w:val="center"/>
      </w:pPr>
      <w:r>
        <w:rPr>
          <w:noProof/>
        </w:rPr>
        <w:drawing>
          <wp:inline distT="0" distB="0" distL="0" distR="0" wp14:anchorId="50D0DC63" wp14:editId="3801B7B2">
            <wp:extent cx="2757038" cy="746760"/>
            <wp:effectExtent l="0" t="0" r="5715" b="0"/>
            <wp:docPr id="1902000247"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00247" name="Picture 1" descr="A white background with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9065" cy="752726"/>
                    </a:xfrm>
                    <a:prstGeom prst="rect">
                      <a:avLst/>
                    </a:prstGeom>
                  </pic:spPr>
                </pic:pic>
              </a:graphicData>
            </a:graphic>
          </wp:inline>
        </w:drawing>
      </w:r>
    </w:p>
    <w:p w14:paraId="175758DB" w14:textId="33120029" w:rsidR="00E14E1A" w:rsidRPr="00912A32" w:rsidRDefault="00E14E1A" w:rsidP="00BA4861">
      <w:pPr>
        <w:spacing w:after="0"/>
        <w:jc w:val="center"/>
        <w:rPr>
          <w:rFonts w:ascii="Calibri" w:hAnsi="Calibri" w:cs="Calibri"/>
          <w:b/>
          <w:bCs/>
        </w:rPr>
      </w:pPr>
      <w:r w:rsidRPr="00912A32">
        <w:rPr>
          <w:rFonts w:ascii="Calibri" w:hAnsi="Calibri" w:cs="Calibri"/>
          <w:b/>
          <w:bCs/>
        </w:rPr>
        <w:t>2025 Community Grants</w:t>
      </w:r>
    </w:p>
    <w:p w14:paraId="48575721" w14:textId="77777777" w:rsidR="00BA4861" w:rsidRDefault="00E14E1A" w:rsidP="00BA4861">
      <w:pPr>
        <w:spacing w:after="0"/>
        <w:rPr>
          <w:rFonts w:ascii="Calibri" w:hAnsi="Calibri" w:cs="Calibri"/>
        </w:rPr>
      </w:pPr>
      <w:r>
        <w:rPr>
          <w:rFonts w:ascii="Calibri" w:hAnsi="Calibri" w:cs="Calibri"/>
        </w:rPr>
        <w:t xml:space="preserve">Holmes County Education &amp; Community Foundation’s Community Grants </w:t>
      </w:r>
      <w:r w:rsidR="00912A32">
        <w:rPr>
          <w:rFonts w:ascii="Calibri" w:hAnsi="Calibri" w:cs="Calibri"/>
        </w:rPr>
        <w:t>provide funding for programs and projects that improve the quality of life of individuals within Holmes County.</w:t>
      </w:r>
    </w:p>
    <w:p w14:paraId="1D851946" w14:textId="5050D710" w:rsidR="00E14E1A" w:rsidRDefault="00912A32" w:rsidP="00BA4861">
      <w:pPr>
        <w:spacing w:after="0"/>
        <w:rPr>
          <w:rFonts w:ascii="Calibri" w:hAnsi="Calibri" w:cs="Calibri"/>
        </w:rPr>
      </w:pPr>
      <w:r>
        <w:rPr>
          <w:rFonts w:ascii="Calibri" w:hAnsi="Calibri" w:cs="Calibri"/>
        </w:rPr>
        <w:t xml:space="preserve">  </w:t>
      </w:r>
    </w:p>
    <w:p w14:paraId="6071F8BE" w14:textId="3BF960D5" w:rsidR="00912A32" w:rsidRDefault="00912A32" w:rsidP="00BA4861">
      <w:pPr>
        <w:spacing w:after="0"/>
        <w:rPr>
          <w:rFonts w:ascii="Calibri" w:hAnsi="Calibri" w:cs="Calibri"/>
          <w:b/>
          <w:bCs/>
        </w:rPr>
      </w:pPr>
      <w:r>
        <w:rPr>
          <w:rFonts w:ascii="Calibri" w:hAnsi="Calibri" w:cs="Calibri"/>
          <w:b/>
          <w:bCs/>
        </w:rPr>
        <w:t>Grant Awards</w:t>
      </w:r>
    </w:p>
    <w:p w14:paraId="6FD08335" w14:textId="16DCEC95" w:rsidR="00912A32" w:rsidRDefault="00912A32" w:rsidP="00BA4861">
      <w:pPr>
        <w:spacing w:after="0"/>
        <w:rPr>
          <w:rFonts w:ascii="Calibri" w:hAnsi="Calibri" w:cs="Calibri"/>
        </w:rPr>
      </w:pPr>
      <w:r>
        <w:rPr>
          <w:rFonts w:ascii="Calibri" w:hAnsi="Calibri" w:cs="Calibri"/>
        </w:rPr>
        <w:t xml:space="preserve">Applicants may request </w:t>
      </w:r>
      <w:r w:rsidR="00A56F5B">
        <w:rPr>
          <w:rFonts w:ascii="Calibri" w:hAnsi="Calibri" w:cs="Calibri"/>
        </w:rPr>
        <w:t xml:space="preserve">a minimum of </w:t>
      </w:r>
      <w:r w:rsidR="00A56F5B">
        <w:rPr>
          <w:rFonts w:ascii="Calibri" w:hAnsi="Calibri" w:cs="Calibri"/>
          <w:b/>
          <w:bCs/>
        </w:rPr>
        <w:t>$2</w:t>
      </w:r>
      <w:r w:rsidR="001043D5">
        <w:rPr>
          <w:rFonts w:ascii="Calibri" w:hAnsi="Calibri" w:cs="Calibri"/>
          <w:b/>
          <w:bCs/>
        </w:rPr>
        <w:t>,</w:t>
      </w:r>
      <w:r w:rsidR="00A56F5B">
        <w:rPr>
          <w:rFonts w:ascii="Calibri" w:hAnsi="Calibri" w:cs="Calibri"/>
          <w:b/>
          <w:bCs/>
        </w:rPr>
        <w:t xml:space="preserve">500 </w:t>
      </w:r>
      <w:r w:rsidR="00A56F5B">
        <w:rPr>
          <w:rFonts w:ascii="Calibri" w:hAnsi="Calibri" w:cs="Calibri"/>
        </w:rPr>
        <w:t>and up to</w:t>
      </w:r>
      <w:r>
        <w:rPr>
          <w:rFonts w:ascii="Calibri" w:hAnsi="Calibri" w:cs="Calibri"/>
        </w:rPr>
        <w:t xml:space="preserve"> </w:t>
      </w:r>
      <w:r w:rsidRPr="00912A32">
        <w:rPr>
          <w:rFonts w:ascii="Calibri" w:hAnsi="Calibri" w:cs="Calibri"/>
          <w:b/>
          <w:bCs/>
        </w:rPr>
        <w:t>$15,000</w:t>
      </w:r>
      <w:r>
        <w:rPr>
          <w:rFonts w:ascii="Calibri" w:hAnsi="Calibri" w:cs="Calibri"/>
        </w:rPr>
        <w:t>.  The amount of the award each year will vary based on the available funds.  Proposals that demonstrate the most effective use of funds in the context of their program</w:t>
      </w:r>
      <w:r w:rsidR="00A56F5B">
        <w:rPr>
          <w:rFonts w:ascii="Calibri" w:hAnsi="Calibri" w:cs="Calibri"/>
        </w:rPr>
        <w:t>ming</w:t>
      </w:r>
      <w:r>
        <w:rPr>
          <w:rFonts w:ascii="Calibri" w:hAnsi="Calibri" w:cs="Calibri"/>
        </w:rPr>
        <w:t xml:space="preserve"> have the greatest chance for success.</w:t>
      </w:r>
    </w:p>
    <w:p w14:paraId="36893D02" w14:textId="77777777" w:rsidR="00BA4861" w:rsidRDefault="00BA4861" w:rsidP="00BA4861">
      <w:pPr>
        <w:spacing w:after="0"/>
        <w:rPr>
          <w:rFonts w:ascii="Calibri" w:hAnsi="Calibri" w:cs="Calibri"/>
        </w:rPr>
      </w:pPr>
    </w:p>
    <w:p w14:paraId="47039422" w14:textId="6F56BF54" w:rsidR="00BA4861" w:rsidRDefault="00912A32" w:rsidP="00BA4861">
      <w:pPr>
        <w:spacing w:after="0"/>
        <w:rPr>
          <w:rFonts w:ascii="Calibri" w:hAnsi="Calibri" w:cs="Calibri"/>
          <w:b/>
          <w:bCs/>
        </w:rPr>
      </w:pPr>
      <w:r>
        <w:rPr>
          <w:rFonts w:ascii="Calibri" w:hAnsi="Calibri" w:cs="Calibri"/>
          <w:b/>
          <w:bCs/>
        </w:rPr>
        <w:t>Eligibility</w:t>
      </w:r>
    </w:p>
    <w:p w14:paraId="0CF25036" w14:textId="6D91E2F5" w:rsidR="00912A32" w:rsidRDefault="00912A32" w:rsidP="00BA4861">
      <w:pPr>
        <w:spacing w:after="0"/>
        <w:rPr>
          <w:rFonts w:ascii="Calibri" w:hAnsi="Calibri" w:cs="Calibri"/>
        </w:rPr>
      </w:pPr>
      <w:r>
        <w:rPr>
          <w:rFonts w:ascii="Calibri" w:hAnsi="Calibri" w:cs="Calibri"/>
        </w:rPr>
        <w:t xml:space="preserve">All applicants must possess nonprofit status or </w:t>
      </w:r>
      <w:r w:rsidRPr="00167ED3">
        <w:rPr>
          <w:rFonts w:ascii="Calibri" w:hAnsi="Calibri" w:cs="Calibri"/>
        </w:rPr>
        <w:t>nonprofit</w:t>
      </w:r>
      <w:r w:rsidR="00A56F5B" w:rsidRPr="00167ED3">
        <w:rPr>
          <w:rFonts w:ascii="Calibri" w:hAnsi="Calibri" w:cs="Calibri"/>
        </w:rPr>
        <w:t>/charitable</w:t>
      </w:r>
      <w:r w:rsidRPr="00167ED3">
        <w:rPr>
          <w:rFonts w:ascii="Calibri" w:hAnsi="Calibri" w:cs="Calibri"/>
        </w:rPr>
        <w:t xml:space="preserve"> intent.</w:t>
      </w:r>
      <w:r>
        <w:rPr>
          <w:rFonts w:ascii="Calibri" w:hAnsi="Calibri" w:cs="Calibri"/>
        </w:rPr>
        <w:t xml:space="preserve"> </w:t>
      </w:r>
    </w:p>
    <w:p w14:paraId="08B64698" w14:textId="77777777" w:rsidR="00BA4861" w:rsidRPr="00912A32" w:rsidRDefault="00BA4861" w:rsidP="00BA4861">
      <w:pPr>
        <w:spacing w:after="0"/>
        <w:rPr>
          <w:rFonts w:ascii="Calibri" w:hAnsi="Calibri" w:cs="Calibri"/>
        </w:rPr>
      </w:pPr>
    </w:p>
    <w:p w14:paraId="3EBE8FDD" w14:textId="2038007D" w:rsidR="00912A32" w:rsidRDefault="00912A32" w:rsidP="00BA4861">
      <w:pPr>
        <w:spacing w:after="0"/>
        <w:rPr>
          <w:rFonts w:ascii="Calibri" w:hAnsi="Calibri" w:cs="Calibri"/>
          <w:b/>
          <w:bCs/>
        </w:rPr>
      </w:pPr>
      <w:r>
        <w:rPr>
          <w:rFonts w:ascii="Calibri" w:hAnsi="Calibri" w:cs="Calibri"/>
          <w:b/>
          <w:bCs/>
        </w:rPr>
        <w:t>Duration of Grants</w:t>
      </w:r>
    </w:p>
    <w:p w14:paraId="46D6EA41" w14:textId="01D6F0A9" w:rsidR="00912A32" w:rsidRDefault="00912A32" w:rsidP="00BA4861">
      <w:pPr>
        <w:spacing w:after="0"/>
        <w:rPr>
          <w:rFonts w:ascii="Calibri" w:hAnsi="Calibri" w:cs="Calibri"/>
        </w:rPr>
      </w:pPr>
      <w:r>
        <w:rPr>
          <w:rFonts w:ascii="Calibri" w:hAnsi="Calibri" w:cs="Calibri"/>
        </w:rPr>
        <w:t>Grants are valid for a period of up to one year, with the expectation that the full amount of the grant will be used within that time.</w:t>
      </w:r>
    </w:p>
    <w:p w14:paraId="5DF78613" w14:textId="77777777" w:rsidR="00BA4861" w:rsidRDefault="00BA4861" w:rsidP="00BA4861">
      <w:pPr>
        <w:spacing w:after="0"/>
        <w:rPr>
          <w:rFonts w:ascii="Calibri" w:hAnsi="Calibri" w:cs="Calibri"/>
        </w:rPr>
      </w:pPr>
    </w:p>
    <w:p w14:paraId="4BEF108B" w14:textId="23AE5017" w:rsidR="00912A32" w:rsidRDefault="00912A32" w:rsidP="00BA4861">
      <w:pPr>
        <w:spacing w:after="0"/>
        <w:rPr>
          <w:rFonts w:ascii="Calibri" w:hAnsi="Calibri" w:cs="Calibri"/>
          <w:b/>
          <w:bCs/>
        </w:rPr>
      </w:pPr>
      <w:r>
        <w:rPr>
          <w:rFonts w:ascii="Calibri" w:hAnsi="Calibri" w:cs="Calibri"/>
          <w:b/>
          <w:bCs/>
        </w:rPr>
        <w:t>Geographic Range of Grants</w:t>
      </w:r>
    </w:p>
    <w:p w14:paraId="3F3AA716" w14:textId="35D41112" w:rsidR="00912A32" w:rsidRDefault="00912A32" w:rsidP="00BA4861">
      <w:pPr>
        <w:spacing w:after="0"/>
        <w:rPr>
          <w:rFonts w:ascii="Calibri" w:hAnsi="Calibri" w:cs="Calibri"/>
        </w:rPr>
      </w:pPr>
      <w:r>
        <w:rPr>
          <w:rFonts w:ascii="Calibri" w:hAnsi="Calibri" w:cs="Calibri"/>
        </w:rPr>
        <w:t xml:space="preserve">Grants must benefit Holmes </w:t>
      </w:r>
      <w:proofErr w:type="gramStart"/>
      <w:r>
        <w:rPr>
          <w:rFonts w:ascii="Calibri" w:hAnsi="Calibri" w:cs="Calibri"/>
        </w:rPr>
        <w:t>County,</w:t>
      </w:r>
      <w:proofErr w:type="gramEnd"/>
      <w:r>
        <w:rPr>
          <w:rFonts w:ascii="Calibri" w:hAnsi="Calibri" w:cs="Calibri"/>
        </w:rPr>
        <w:t xml:space="preserve"> Ohio residents.</w:t>
      </w:r>
    </w:p>
    <w:p w14:paraId="4801777B" w14:textId="77777777" w:rsidR="00BA4861" w:rsidRDefault="00BA4861" w:rsidP="00BA4861">
      <w:pPr>
        <w:spacing w:after="0"/>
        <w:rPr>
          <w:rFonts w:ascii="Calibri" w:hAnsi="Calibri" w:cs="Calibri"/>
        </w:rPr>
      </w:pPr>
    </w:p>
    <w:p w14:paraId="4235A8CC" w14:textId="48BAC954" w:rsidR="00912A32" w:rsidRDefault="00E46A1C" w:rsidP="00BA4861">
      <w:pPr>
        <w:spacing w:after="0"/>
        <w:rPr>
          <w:rFonts w:ascii="Calibri" w:hAnsi="Calibri" w:cs="Calibri"/>
          <w:b/>
          <w:bCs/>
        </w:rPr>
      </w:pPr>
      <w:r>
        <w:rPr>
          <w:rFonts w:ascii="Calibri" w:hAnsi="Calibri" w:cs="Calibri"/>
          <w:b/>
          <w:bCs/>
        </w:rPr>
        <w:t>Leadership and Fiscal Accountability</w:t>
      </w:r>
    </w:p>
    <w:p w14:paraId="34499B9C" w14:textId="23F2720D" w:rsidR="00E46A1C" w:rsidRDefault="00E46A1C" w:rsidP="00BA4861">
      <w:pPr>
        <w:spacing w:after="0"/>
        <w:rPr>
          <w:rFonts w:ascii="Calibri" w:hAnsi="Calibri" w:cs="Calibri"/>
        </w:rPr>
      </w:pPr>
      <w:r>
        <w:rPr>
          <w:rFonts w:ascii="Calibri" w:hAnsi="Calibri" w:cs="Calibri"/>
        </w:rPr>
        <w:t xml:space="preserve">Grantee organizations must have </w:t>
      </w:r>
      <w:proofErr w:type="gramStart"/>
      <w:r>
        <w:rPr>
          <w:rFonts w:ascii="Calibri" w:hAnsi="Calibri" w:cs="Calibri"/>
        </w:rPr>
        <w:t>the leadership</w:t>
      </w:r>
      <w:proofErr w:type="gramEnd"/>
      <w:r>
        <w:rPr>
          <w:rFonts w:ascii="Calibri" w:hAnsi="Calibri" w:cs="Calibri"/>
        </w:rPr>
        <w:t xml:space="preserve"> capacity, financial stability, and appropriate procedures in place for fiscal and organizational accountability.</w:t>
      </w:r>
    </w:p>
    <w:p w14:paraId="03CA5F5A" w14:textId="77777777" w:rsidR="00BA4861" w:rsidRDefault="00BA4861" w:rsidP="00BA4861">
      <w:pPr>
        <w:spacing w:after="0"/>
        <w:rPr>
          <w:rFonts w:ascii="Calibri" w:hAnsi="Calibri" w:cs="Calibri"/>
        </w:rPr>
      </w:pPr>
    </w:p>
    <w:p w14:paraId="62B858E0" w14:textId="5AAD30A1" w:rsidR="00E46A1C" w:rsidRDefault="00E46A1C" w:rsidP="00BA4861">
      <w:pPr>
        <w:spacing w:after="0"/>
        <w:rPr>
          <w:rFonts w:ascii="Calibri" w:hAnsi="Calibri" w:cs="Calibri"/>
          <w:b/>
          <w:bCs/>
        </w:rPr>
      </w:pPr>
      <w:r>
        <w:rPr>
          <w:rFonts w:ascii="Calibri" w:hAnsi="Calibri" w:cs="Calibri"/>
          <w:b/>
          <w:bCs/>
        </w:rPr>
        <w:t>Evaluation</w:t>
      </w:r>
    </w:p>
    <w:p w14:paraId="53FA9F95" w14:textId="14A7F3B0" w:rsidR="00E46A1C" w:rsidRDefault="00E46A1C" w:rsidP="00BA4861">
      <w:pPr>
        <w:spacing w:after="0"/>
        <w:rPr>
          <w:rFonts w:ascii="Calibri" w:hAnsi="Calibri" w:cs="Calibri"/>
        </w:rPr>
      </w:pPr>
      <w:r>
        <w:rPr>
          <w:rFonts w:ascii="Calibri" w:hAnsi="Calibri" w:cs="Calibri"/>
        </w:rPr>
        <w:t>A community grant selection committee consisting of HCECF board members and staff will review the grant proposals.  To make the best use of available funds, the selection committee will look for one or more of the following when reviewing proposal requests:</w:t>
      </w:r>
    </w:p>
    <w:p w14:paraId="445D9E3B" w14:textId="0B3A0A1D" w:rsidR="00E46A1C" w:rsidRDefault="00E46A1C" w:rsidP="00BA4861">
      <w:pPr>
        <w:pStyle w:val="ListParagraph"/>
        <w:numPr>
          <w:ilvl w:val="0"/>
          <w:numId w:val="1"/>
        </w:numPr>
        <w:spacing w:after="0"/>
        <w:rPr>
          <w:rFonts w:ascii="Calibri" w:hAnsi="Calibri" w:cs="Calibri"/>
        </w:rPr>
      </w:pPr>
      <w:r>
        <w:rPr>
          <w:rFonts w:ascii="Calibri" w:hAnsi="Calibri" w:cs="Calibri"/>
        </w:rPr>
        <w:t>The project is well planned.</w:t>
      </w:r>
    </w:p>
    <w:p w14:paraId="78230F03" w14:textId="6FBDCAA4" w:rsidR="00E46A1C" w:rsidRDefault="00E46A1C" w:rsidP="00BA4861">
      <w:pPr>
        <w:pStyle w:val="ListParagraph"/>
        <w:numPr>
          <w:ilvl w:val="0"/>
          <w:numId w:val="1"/>
        </w:numPr>
        <w:spacing w:after="0"/>
        <w:rPr>
          <w:rFonts w:ascii="Calibri" w:hAnsi="Calibri" w:cs="Calibri"/>
        </w:rPr>
      </w:pPr>
      <w:r>
        <w:rPr>
          <w:rFonts w:ascii="Calibri" w:hAnsi="Calibri" w:cs="Calibri"/>
        </w:rPr>
        <w:t>The use of funds will help to carry out the purpose of the project/program.</w:t>
      </w:r>
    </w:p>
    <w:p w14:paraId="024F9845" w14:textId="24459BC4" w:rsidR="00E46A1C" w:rsidRDefault="00E46A1C" w:rsidP="00BA4861">
      <w:pPr>
        <w:pStyle w:val="ListParagraph"/>
        <w:numPr>
          <w:ilvl w:val="0"/>
          <w:numId w:val="1"/>
        </w:numPr>
        <w:spacing w:after="0"/>
        <w:rPr>
          <w:rFonts w:ascii="Calibri" w:hAnsi="Calibri" w:cs="Calibri"/>
        </w:rPr>
      </w:pPr>
      <w:r>
        <w:rPr>
          <w:rFonts w:ascii="Calibri" w:hAnsi="Calibri" w:cs="Calibri"/>
        </w:rPr>
        <w:t>Support from HCECF is vital or important to the success of the project/program.</w:t>
      </w:r>
    </w:p>
    <w:p w14:paraId="2AF2E9AB" w14:textId="77777777" w:rsidR="00167ED3" w:rsidRDefault="00167ED3" w:rsidP="00BA4861">
      <w:pPr>
        <w:spacing w:after="0"/>
        <w:rPr>
          <w:rFonts w:ascii="Calibri" w:hAnsi="Calibri" w:cs="Calibri"/>
        </w:rPr>
      </w:pPr>
    </w:p>
    <w:p w14:paraId="0D1FDE2B" w14:textId="4F66846B" w:rsidR="00BA4861" w:rsidRDefault="00E46A1C" w:rsidP="00BA4861">
      <w:pPr>
        <w:spacing w:after="0"/>
        <w:rPr>
          <w:rFonts w:ascii="Calibri" w:hAnsi="Calibri" w:cs="Calibri"/>
        </w:rPr>
      </w:pPr>
      <w:r>
        <w:rPr>
          <w:rFonts w:ascii="Calibri" w:hAnsi="Calibri" w:cs="Calibri"/>
        </w:rPr>
        <w:t>Grant awards may not be used to carry on propaganda or otherwise attempt to influence legislation, participate in or intervene in political campaigns on behalf</w:t>
      </w:r>
      <w:r w:rsidR="001043D5">
        <w:rPr>
          <w:rFonts w:ascii="Calibri" w:hAnsi="Calibri" w:cs="Calibri"/>
        </w:rPr>
        <w:t xml:space="preserve"> of</w:t>
      </w:r>
      <w:r>
        <w:rPr>
          <w:rFonts w:ascii="Calibri" w:hAnsi="Calibri" w:cs="Calibri"/>
        </w:rPr>
        <w:t xml:space="preserve"> or in opposition to any </w:t>
      </w:r>
      <w:r>
        <w:rPr>
          <w:rFonts w:ascii="Calibri" w:hAnsi="Calibri" w:cs="Calibri"/>
        </w:rPr>
        <w:lastRenderedPageBreak/>
        <w:t>candidate for public office, or to conduct, directly or indirectly, any other registration drive (within the meaning of Section 4945(d)(2) of the Internal Revenue Code</w:t>
      </w:r>
      <w:r w:rsidR="001043D5">
        <w:rPr>
          <w:rFonts w:ascii="Calibri" w:hAnsi="Calibri" w:cs="Calibri"/>
        </w:rPr>
        <w:t>)</w:t>
      </w:r>
      <w:r>
        <w:rPr>
          <w:rFonts w:ascii="Calibri" w:hAnsi="Calibri" w:cs="Calibri"/>
        </w:rPr>
        <w:t>.</w:t>
      </w:r>
      <w:r w:rsidR="00BA4861">
        <w:rPr>
          <w:rFonts w:ascii="Calibri" w:hAnsi="Calibri" w:cs="Calibri"/>
        </w:rPr>
        <w:t xml:space="preserve">  </w:t>
      </w:r>
    </w:p>
    <w:p w14:paraId="1A25EC01" w14:textId="77777777" w:rsidR="00BA4861" w:rsidRDefault="00BA4861" w:rsidP="00BA4861">
      <w:pPr>
        <w:spacing w:after="0"/>
        <w:rPr>
          <w:rFonts w:ascii="Calibri" w:hAnsi="Calibri" w:cs="Calibri"/>
        </w:rPr>
      </w:pPr>
    </w:p>
    <w:p w14:paraId="4019495E" w14:textId="57F57857" w:rsidR="00E46A1C" w:rsidRDefault="00BA4861" w:rsidP="00BA4861">
      <w:pPr>
        <w:spacing w:after="0"/>
        <w:rPr>
          <w:rFonts w:ascii="Calibri" w:hAnsi="Calibri" w:cs="Calibri"/>
          <w:b/>
          <w:bCs/>
        </w:rPr>
      </w:pPr>
      <w:r w:rsidRPr="00BA4861">
        <w:rPr>
          <w:rFonts w:ascii="Calibri" w:hAnsi="Calibri" w:cs="Calibri"/>
          <w:b/>
          <w:bCs/>
        </w:rPr>
        <w:t xml:space="preserve">HCECF makes grants only to organizations that are recognized by the Internal Revenue Code as nonprofit, </w:t>
      </w:r>
      <w:r w:rsidR="00A56F5B" w:rsidRPr="00BA4861">
        <w:rPr>
          <w:rFonts w:ascii="Calibri" w:hAnsi="Calibri" w:cs="Calibri"/>
          <w:b/>
          <w:bCs/>
        </w:rPr>
        <w:t>tax-exempt</w:t>
      </w:r>
      <w:r w:rsidR="00A56F5B">
        <w:rPr>
          <w:rFonts w:ascii="Calibri" w:hAnsi="Calibri" w:cs="Calibri"/>
          <w:b/>
          <w:bCs/>
        </w:rPr>
        <w:t xml:space="preserve"> organizations</w:t>
      </w:r>
      <w:r w:rsidRPr="00BA4861">
        <w:rPr>
          <w:rFonts w:ascii="Calibri" w:hAnsi="Calibri" w:cs="Calibri"/>
          <w:b/>
          <w:bCs/>
        </w:rPr>
        <w:t>, charitable organization</w:t>
      </w:r>
      <w:r w:rsidR="00A56F5B">
        <w:rPr>
          <w:rFonts w:ascii="Calibri" w:hAnsi="Calibri" w:cs="Calibri"/>
          <w:b/>
          <w:bCs/>
        </w:rPr>
        <w:t>s</w:t>
      </w:r>
      <w:r w:rsidRPr="00BA4861">
        <w:rPr>
          <w:rFonts w:ascii="Calibri" w:hAnsi="Calibri" w:cs="Calibri"/>
          <w:b/>
          <w:bCs/>
        </w:rPr>
        <w:t>, education institutions, or qualified governmental agencies.  The Foundation does not make grants to individuals.</w:t>
      </w:r>
      <w:r w:rsidR="00E46A1C" w:rsidRPr="00BA4861">
        <w:rPr>
          <w:rFonts w:ascii="Calibri" w:hAnsi="Calibri" w:cs="Calibri"/>
          <w:b/>
          <w:bCs/>
        </w:rPr>
        <w:t xml:space="preserve">  </w:t>
      </w:r>
    </w:p>
    <w:p w14:paraId="72C262C2" w14:textId="77777777" w:rsidR="00BA4861" w:rsidRDefault="00BA4861" w:rsidP="00BA4861">
      <w:pPr>
        <w:spacing w:after="0"/>
        <w:rPr>
          <w:rFonts w:ascii="Calibri" w:hAnsi="Calibri" w:cs="Calibri"/>
          <w:b/>
          <w:bCs/>
        </w:rPr>
      </w:pPr>
    </w:p>
    <w:p w14:paraId="7891E5E7" w14:textId="413D8F36" w:rsidR="00BA4861" w:rsidRDefault="00BA4861" w:rsidP="00BA4861">
      <w:pPr>
        <w:spacing w:after="0"/>
        <w:rPr>
          <w:rFonts w:ascii="Calibri" w:hAnsi="Calibri" w:cs="Calibri"/>
        </w:rPr>
      </w:pPr>
      <w:r>
        <w:rPr>
          <w:rFonts w:ascii="Calibri" w:hAnsi="Calibri" w:cs="Calibri"/>
          <w:b/>
          <w:bCs/>
        </w:rPr>
        <w:t xml:space="preserve">Note: </w:t>
      </w:r>
      <w:r>
        <w:rPr>
          <w:rFonts w:ascii="Calibri" w:hAnsi="Calibri" w:cs="Calibri"/>
        </w:rPr>
        <w:t xml:space="preserve">If you are seeking a grant for a group or agency that is not listed above (i.e. booster club, youth group, parent/teacher organization), your group must be affiliated with one of these types of primary organizations to be eligible to apply.  When completing the online application, the organization contact information and EIN/Tax ID </w:t>
      </w:r>
      <w:r w:rsidR="001043D5">
        <w:rPr>
          <w:rFonts w:ascii="Calibri" w:hAnsi="Calibri" w:cs="Calibri"/>
        </w:rPr>
        <w:t>N</w:t>
      </w:r>
      <w:r>
        <w:rPr>
          <w:rFonts w:ascii="Calibri" w:hAnsi="Calibri" w:cs="Calibri"/>
        </w:rPr>
        <w:t xml:space="preserve">umber applies to the primary organization.  Awarded grants will be given to the primary organization for the benefit of your affiliated group. </w:t>
      </w:r>
    </w:p>
    <w:p w14:paraId="6F378D71" w14:textId="77777777" w:rsidR="00BA4861" w:rsidRDefault="00BA4861" w:rsidP="00BA4861">
      <w:pPr>
        <w:spacing w:after="0"/>
        <w:rPr>
          <w:rFonts w:ascii="Calibri" w:hAnsi="Calibri" w:cs="Calibri"/>
        </w:rPr>
      </w:pPr>
    </w:p>
    <w:p w14:paraId="6832155E" w14:textId="30230081" w:rsidR="00BA4861" w:rsidRDefault="00BA4861" w:rsidP="00BA4861">
      <w:pPr>
        <w:spacing w:after="0"/>
        <w:rPr>
          <w:rFonts w:ascii="Calibri" w:hAnsi="Calibri" w:cs="Calibri"/>
          <w:b/>
          <w:bCs/>
        </w:rPr>
      </w:pPr>
      <w:r>
        <w:rPr>
          <w:rFonts w:ascii="Calibri" w:hAnsi="Calibri" w:cs="Calibri"/>
          <w:b/>
          <w:bCs/>
        </w:rPr>
        <w:t>Final Report</w:t>
      </w:r>
    </w:p>
    <w:p w14:paraId="5B282F1A" w14:textId="2A6AF795" w:rsidR="00BA4861" w:rsidRDefault="00BA4861" w:rsidP="00BA4861">
      <w:pPr>
        <w:spacing w:after="0"/>
        <w:rPr>
          <w:rFonts w:ascii="Calibri" w:hAnsi="Calibri" w:cs="Calibri"/>
        </w:rPr>
      </w:pPr>
      <w:r>
        <w:rPr>
          <w:rFonts w:ascii="Calibri" w:hAnsi="Calibri" w:cs="Calibri"/>
        </w:rPr>
        <w:t xml:space="preserve">Organizations receiving grants are required to submit a final report to HCECF </w:t>
      </w:r>
      <w:r w:rsidRPr="00BA4861">
        <w:rPr>
          <w:rFonts w:ascii="Calibri" w:hAnsi="Calibri" w:cs="Calibri"/>
          <w:b/>
          <w:bCs/>
          <w:u w:val="single"/>
        </w:rPr>
        <w:t>within one year</w:t>
      </w:r>
      <w:r>
        <w:rPr>
          <w:rFonts w:ascii="Calibri" w:hAnsi="Calibri" w:cs="Calibri"/>
        </w:rPr>
        <w:t xml:space="preserve"> of receipt of the grant</w:t>
      </w:r>
      <w:r w:rsidR="00167ED3">
        <w:rPr>
          <w:rFonts w:ascii="Calibri" w:hAnsi="Calibri" w:cs="Calibri"/>
        </w:rPr>
        <w:t xml:space="preserve"> which will include a request for documentation of the use of grant funds.</w:t>
      </w:r>
    </w:p>
    <w:p w14:paraId="6FDC2F49" w14:textId="77777777" w:rsidR="00BA4861" w:rsidRDefault="00BA4861" w:rsidP="00BA4861">
      <w:pPr>
        <w:spacing w:after="0"/>
        <w:rPr>
          <w:rFonts w:ascii="Calibri" w:hAnsi="Calibri" w:cs="Calibri"/>
        </w:rPr>
      </w:pPr>
    </w:p>
    <w:p w14:paraId="2DD89853" w14:textId="1F109BF5" w:rsidR="00BA4861" w:rsidRDefault="00BA4861" w:rsidP="00BA4861">
      <w:pPr>
        <w:spacing w:after="0"/>
        <w:rPr>
          <w:rFonts w:ascii="Calibri" w:hAnsi="Calibri" w:cs="Calibri"/>
          <w:b/>
          <w:bCs/>
        </w:rPr>
      </w:pPr>
      <w:r>
        <w:rPr>
          <w:rFonts w:ascii="Calibri" w:hAnsi="Calibri" w:cs="Calibri"/>
          <w:b/>
          <w:bCs/>
        </w:rPr>
        <w:t>Application Process and Deadlines</w:t>
      </w:r>
    </w:p>
    <w:p w14:paraId="7C9622A9" w14:textId="0DDF71E3" w:rsidR="00BA4861" w:rsidRDefault="00BA4861" w:rsidP="00BA4861">
      <w:pPr>
        <w:spacing w:after="0"/>
        <w:rPr>
          <w:rFonts w:ascii="Calibri" w:hAnsi="Calibri" w:cs="Calibri"/>
        </w:rPr>
      </w:pPr>
      <w:r>
        <w:rPr>
          <w:rFonts w:ascii="Calibri" w:hAnsi="Calibri" w:cs="Calibri"/>
        </w:rPr>
        <w:t>All grant applications m</w:t>
      </w:r>
      <w:r w:rsidR="001A188F">
        <w:rPr>
          <w:rFonts w:ascii="Calibri" w:hAnsi="Calibri" w:cs="Calibri"/>
        </w:rPr>
        <w:t>ust</w:t>
      </w:r>
      <w:r>
        <w:rPr>
          <w:rFonts w:ascii="Calibri" w:hAnsi="Calibri" w:cs="Calibri"/>
        </w:rPr>
        <w:t xml:space="preserve"> be </w:t>
      </w:r>
      <w:r w:rsidR="001A188F">
        <w:rPr>
          <w:rFonts w:ascii="Calibri" w:hAnsi="Calibri" w:cs="Calibri"/>
        </w:rPr>
        <w:t xml:space="preserve">downloaded </w:t>
      </w:r>
      <w:r>
        <w:rPr>
          <w:rFonts w:ascii="Calibri" w:hAnsi="Calibri" w:cs="Calibri"/>
        </w:rPr>
        <w:t>through our online link</w:t>
      </w:r>
      <w:r w:rsidR="001A188F">
        <w:rPr>
          <w:rFonts w:ascii="Calibri" w:hAnsi="Calibri" w:cs="Calibri"/>
        </w:rPr>
        <w:t xml:space="preserve">, completed, and </w:t>
      </w:r>
      <w:proofErr w:type="gramStart"/>
      <w:r w:rsidR="001A188F">
        <w:rPr>
          <w:rFonts w:ascii="Calibri" w:hAnsi="Calibri" w:cs="Calibri"/>
        </w:rPr>
        <w:t>returned back</w:t>
      </w:r>
      <w:proofErr w:type="gramEnd"/>
      <w:r w:rsidR="001A188F">
        <w:rPr>
          <w:rFonts w:ascii="Calibri" w:hAnsi="Calibri" w:cs="Calibri"/>
        </w:rPr>
        <w:t xml:space="preserve"> to us via email or dropped off at our office</w:t>
      </w:r>
      <w:r>
        <w:rPr>
          <w:rFonts w:ascii="Calibri" w:hAnsi="Calibri" w:cs="Calibri"/>
        </w:rPr>
        <w:t xml:space="preserve"> by </w:t>
      </w:r>
      <w:r w:rsidR="00A56F5B">
        <w:rPr>
          <w:rFonts w:ascii="Calibri" w:hAnsi="Calibri" w:cs="Calibri"/>
        </w:rPr>
        <w:t>October</w:t>
      </w:r>
      <w:r>
        <w:rPr>
          <w:rFonts w:ascii="Calibri" w:hAnsi="Calibri" w:cs="Calibri"/>
        </w:rPr>
        <w:t xml:space="preserve"> </w:t>
      </w:r>
      <w:r w:rsidR="00A56F5B">
        <w:rPr>
          <w:rFonts w:ascii="Calibri" w:hAnsi="Calibri" w:cs="Calibri"/>
        </w:rPr>
        <w:t>1</w:t>
      </w:r>
      <w:r w:rsidR="00A56F5B" w:rsidRPr="00A56F5B">
        <w:rPr>
          <w:rFonts w:ascii="Calibri" w:hAnsi="Calibri" w:cs="Calibri"/>
          <w:vertAlign w:val="superscript"/>
        </w:rPr>
        <w:t>st</w:t>
      </w:r>
      <w:r w:rsidR="00A56F5B">
        <w:rPr>
          <w:rFonts w:ascii="Calibri" w:hAnsi="Calibri" w:cs="Calibri"/>
        </w:rPr>
        <w:t xml:space="preserve">. </w:t>
      </w:r>
      <w:r>
        <w:rPr>
          <w:rFonts w:ascii="Calibri" w:hAnsi="Calibri" w:cs="Calibri"/>
        </w:rPr>
        <w:t xml:space="preserve"> Projects will be selected by November </w:t>
      </w:r>
      <w:proofErr w:type="gramStart"/>
      <w:r>
        <w:rPr>
          <w:rFonts w:ascii="Calibri" w:hAnsi="Calibri" w:cs="Calibri"/>
        </w:rPr>
        <w:t>30</w:t>
      </w:r>
      <w:r w:rsidRPr="00BA4861">
        <w:rPr>
          <w:rFonts w:ascii="Calibri" w:hAnsi="Calibri" w:cs="Calibri"/>
          <w:vertAlign w:val="superscript"/>
        </w:rPr>
        <w:t>th</w:t>
      </w:r>
      <w:proofErr w:type="gramEnd"/>
      <w:r>
        <w:rPr>
          <w:rFonts w:ascii="Calibri" w:hAnsi="Calibri" w:cs="Calibri"/>
        </w:rPr>
        <w:t xml:space="preserve"> and awards will be sent out by December </w:t>
      </w:r>
      <w:r w:rsidR="00A56F5B">
        <w:rPr>
          <w:rFonts w:ascii="Calibri" w:hAnsi="Calibri" w:cs="Calibri"/>
        </w:rPr>
        <w:t>31</w:t>
      </w:r>
      <w:r w:rsidR="00A56F5B" w:rsidRPr="00A56F5B">
        <w:rPr>
          <w:rFonts w:ascii="Calibri" w:hAnsi="Calibri" w:cs="Calibri"/>
          <w:vertAlign w:val="superscript"/>
        </w:rPr>
        <w:t>st</w:t>
      </w:r>
      <w:r w:rsidR="00A56F5B">
        <w:rPr>
          <w:rFonts w:ascii="Calibri" w:hAnsi="Calibri" w:cs="Calibri"/>
        </w:rPr>
        <w:t xml:space="preserve">. </w:t>
      </w:r>
    </w:p>
    <w:p w14:paraId="3187E55D" w14:textId="3B194DFF" w:rsidR="00BA4861" w:rsidRPr="00BA4861" w:rsidRDefault="00BA4861" w:rsidP="00E46A1C">
      <w:pPr>
        <w:rPr>
          <w:rFonts w:ascii="Calibri" w:hAnsi="Calibri" w:cs="Calibri"/>
        </w:rPr>
      </w:pPr>
    </w:p>
    <w:sectPr w:rsidR="00BA4861" w:rsidRPr="00BA4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13120"/>
    <w:multiLevelType w:val="hybridMultilevel"/>
    <w:tmpl w:val="87BE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97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1A"/>
    <w:rsid w:val="000A109E"/>
    <w:rsid w:val="001043D5"/>
    <w:rsid w:val="00167ED3"/>
    <w:rsid w:val="001A188F"/>
    <w:rsid w:val="00352554"/>
    <w:rsid w:val="00375D99"/>
    <w:rsid w:val="00504701"/>
    <w:rsid w:val="00623E61"/>
    <w:rsid w:val="006B267B"/>
    <w:rsid w:val="00912A32"/>
    <w:rsid w:val="00A05F8E"/>
    <w:rsid w:val="00A56F5B"/>
    <w:rsid w:val="00BA4861"/>
    <w:rsid w:val="00C57129"/>
    <w:rsid w:val="00C7433C"/>
    <w:rsid w:val="00E14E1A"/>
    <w:rsid w:val="00E4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5C22"/>
  <w15:chartTrackingRefBased/>
  <w15:docId w15:val="{98A892AC-439D-4C61-87F7-C94F4BEC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E1A"/>
    <w:rPr>
      <w:rFonts w:eastAsiaTheme="majorEastAsia" w:cstheme="majorBidi"/>
      <w:color w:val="272727" w:themeColor="text1" w:themeTint="D8"/>
    </w:rPr>
  </w:style>
  <w:style w:type="paragraph" w:styleId="Title">
    <w:name w:val="Title"/>
    <w:basedOn w:val="Normal"/>
    <w:next w:val="Normal"/>
    <w:link w:val="TitleChar"/>
    <w:uiPriority w:val="10"/>
    <w:qFormat/>
    <w:rsid w:val="00E14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E1A"/>
    <w:pPr>
      <w:spacing w:before="160"/>
      <w:jc w:val="center"/>
    </w:pPr>
    <w:rPr>
      <w:i/>
      <w:iCs/>
      <w:color w:val="404040" w:themeColor="text1" w:themeTint="BF"/>
    </w:rPr>
  </w:style>
  <w:style w:type="character" w:customStyle="1" w:styleId="QuoteChar">
    <w:name w:val="Quote Char"/>
    <w:basedOn w:val="DefaultParagraphFont"/>
    <w:link w:val="Quote"/>
    <w:uiPriority w:val="29"/>
    <w:rsid w:val="00E14E1A"/>
    <w:rPr>
      <w:i/>
      <w:iCs/>
      <w:color w:val="404040" w:themeColor="text1" w:themeTint="BF"/>
    </w:rPr>
  </w:style>
  <w:style w:type="paragraph" w:styleId="ListParagraph">
    <w:name w:val="List Paragraph"/>
    <w:basedOn w:val="Normal"/>
    <w:uiPriority w:val="34"/>
    <w:qFormat/>
    <w:rsid w:val="00E14E1A"/>
    <w:pPr>
      <w:ind w:left="720"/>
      <w:contextualSpacing/>
    </w:pPr>
  </w:style>
  <w:style w:type="character" w:styleId="IntenseEmphasis">
    <w:name w:val="Intense Emphasis"/>
    <w:basedOn w:val="DefaultParagraphFont"/>
    <w:uiPriority w:val="21"/>
    <w:qFormat/>
    <w:rsid w:val="00E14E1A"/>
    <w:rPr>
      <w:i/>
      <w:iCs/>
      <w:color w:val="0F4761" w:themeColor="accent1" w:themeShade="BF"/>
    </w:rPr>
  </w:style>
  <w:style w:type="paragraph" w:styleId="IntenseQuote">
    <w:name w:val="Intense Quote"/>
    <w:basedOn w:val="Normal"/>
    <w:next w:val="Normal"/>
    <w:link w:val="IntenseQuoteChar"/>
    <w:uiPriority w:val="30"/>
    <w:qFormat/>
    <w:rsid w:val="00E14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E1A"/>
    <w:rPr>
      <w:i/>
      <w:iCs/>
      <w:color w:val="0F4761" w:themeColor="accent1" w:themeShade="BF"/>
    </w:rPr>
  </w:style>
  <w:style w:type="character" w:styleId="IntenseReference">
    <w:name w:val="Intense Reference"/>
    <w:basedOn w:val="DefaultParagraphFont"/>
    <w:uiPriority w:val="32"/>
    <w:qFormat/>
    <w:rsid w:val="00E14E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Johnson</dc:creator>
  <cp:keywords/>
  <dc:description/>
  <cp:lastModifiedBy>Holley Johnson</cp:lastModifiedBy>
  <cp:revision>5</cp:revision>
  <dcterms:created xsi:type="dcterms:W3CDTF">2025-06-26T15:34:00Z</dcterms:created>
  <dcterms:modified xsi:type="dcterms:W3CDTF">2025-08-18T20:45:00Z</dcterms:modified>
</cp:coreProperties>
</file>